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方正小标宋_GBK" w:eastAsia="方正小标宋_GBK"/>
          <w:snapToGrid w:val="0"/>
          <w:color w:val="000000"/>
          <w:sz w:val="44"/>
          <w:szCs w:val="44"/>
        </w:rPr>
      </w:pPr>
      <w:r>
        <w:rPr>
          <w:rFonts w:hint="eastAsia" w:ascii="方正小标宋_GBK" w:eastAsia="方正小标宋_GBK"/>
          <w:snapToGrid w:val="0"/>
          <w:color w:val="000000"/>
          <w:sz w:val="44"/>
          <w:szCs w:val="44"/>
          <w:lang w:eastAsia="zh-CN"/>
        </w:rPr>
        <w:t>广西</w:t>
      </w:r>
      <w:r>
        <w:rPr>
          <w:rFonts w:hint="eastAsia" w:ascii="方正小标宋_GBK" w:eastAsia="方正小标宋_GBK"/>
          <w:snapToGrid w:val="0"/>
          <w:color w:val="000000"/>
          <w:sz w:val="44"/>
          <w:szCs w:val="44"/>
          <w:lang w:val="en-US" w:eastAsia="zh-CN"/>
        </w:rPr>
        <w:t>壮族自治区</w:t>
      </w:r>
      <w:r>
        <w:rPr>
          <w:rFonts w:hint="eastAsia" w:ascii="方正小标宋_GBK" w:eastAsia="方正小标宋_GBK"/>
          <w:snapToGrid w:val="0"/>
          <w:color w:val="000000"/>
          <w:sz w:val="44"/>
          <w:szCs w:val="44"/>
          <w:lang w:eastAsia="zh-CN"/>
        </w:rPr>
        <w:t>房屋建筑和市政基础设施工程现场质量安全监督评价办法</w:t>
      </w:r>
      <w:r>
        <w:rPr>
          <w:rFonts w:hint="eastAsia" w:ascii="方正小标宋_GBK" w:eastAsia="方正小标宋_GBK"/>
          <w:snapToGrid w:val="0"/>
          <w:color w:val="000000"/>
          <w:sz w:val="44"/>
          <w:szCs w:val="44"/>
        </w:rPr>
        <w:t>（试行）</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方正小标宋_GBK" w:eastAsia="方正小标宋_GBK"/>
          <w:snapToGrid w:val="0"/>
          <w:color w:val="000000"/>
          <w:sz w:val="44"/>
          <w:szCs w:val="44"/>
          <w:lang w:val="en-US" w:eastAsia="zh-CN"/>
        </w:rPr>
      </w:pPr>
      <w:r>
        <w:rPr>
          <w:rFonts w:hint="eastAsia" w:ascii="方正小标宋_GBK" w:eastAsia="方正小标宋_GBK"/>
          <w:snapToGrid w:val="0"/>
          <w:color w:val="000000"/>
          <w:sz w:val="44"/>
          <w:szCs w:val="44"/>
          <w:lang w:val="en-US" w:eastAsia="zh-CN"/>
        </w:rPr>
        <w:t>政策解读材料</w:t>
      </w:r>
    </w:p>
    <w:p>
      <w:pPr>
        <w:ind w:firstLine="0" w:firstLineChars="0"/>
        <w:jc w:val="center"/>
      </w:pPr>
    </w:p>
    <w:p>
      <w:pPr>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eastAsia" w:eastAsia="方正仿宋_GBK"/>
          <w:lang w:eastAsia="zh-CN"/>
        </w:rPr>
      </w:pPr>
      <w:r>
        <w:t>为</w:t>
      </w:r>
      <w:r>
        <w:rPr>
          <w:rFonts w:hint="eastAsia"/>
        </w:rPr>
        <w:t>强化政府监管力度，进一步压实</w:t>
      </w:r>
      <w:r>
        <w:rPr>
          <w:rFonts w:hint="eastAsia"/>
          <w:lang w:val="en-US" w:eastAsia="zh-CN"/>
        </w:rPr>
        <w:t>企业</w:t>
      </w:r>
      <w:r>
        <w:rPr>
          <w:rFonts w:hint="eastAsia"/>
        </w:rPr>
        <w:t>主体责</w:t>
      </w:r>
      <w:bookmarkStart w:id="0" w:name="_GoBack"/>
      <w:bookmarkEnd w:id="0"/>
      <w:r>
        <w:rPr>
          <w:rFonts w:hint="eastAsia"/>
        </w:rPr>
        <w:t>任，</w:t>
      </w:r>
      <w:r>
        <w:t>提高我区</w:t>
      </w:r>
      <w:r>
        <w:rPr>
          <w:rFonts w:hint="eastAsia"/>
        </w:rPr>
        <w:t>房屋建筑和市政基础设施工程（</w:t>
      </w:r>
      <w:r>
        <w:t>以下统称建筑工程</w:t>
      </w:r>
      <w:r>
        <w:rPr>
          <w:rFonts w:hint="eastAsia"/>
        </w:rPr>
        <w:t>）</w:t>
      </w:r>
      <w:r>
        <w:t>质量安全</w:t>
      </w:r>
      <w:r>
        <w:rPr>
          <w:rFonts w:hint="eastAsia"/>
        </w:rPr>
        <w:t>监管</w:t>
      </w:r>
      <w:r>
        <w:t>水平，</w:t>
      </w:r>
      <w:r>
        <w:rPr>
          <w:rFonts w:hint="eastAsia"/>
        </w:rPr>
        <w:t>我</w:t>
      </w:r>
      <w:r>
        <w:rPr>
          <w:rFonts w:hint="eastAsia"/>
          <w:lang w:val="en-US" w:eastAsia="zh-CN"/>
        </w:rPr>
        <w:t>厅</w:t>
      </w:r>
      <w:r>
        <w:rPr>
          <w:rFonts w:hint="eastAsia"/>
        </w:rPr>
        <w:t>组织</w:t>
      </w:r>
      <w:r>
        <w:t>编制《</w:t>
      </w:r>
      <w:r>
        <w:rPr>
          <w:rFonts w:hint="eastAsia"/>
          <w:lang w:eastAsia="zh-CN"/>
        </w:rPr>
        <w:t>广西</w:t>
      </w:r>
      <w:r>
        <w:rPr>
          <w:rFonts w:hint="eastAsia"/>
          <w:lang w:val="en-US" w:eastAsia="zh-CN"/>
        </w:rPr>
        <w:t>壮族自治区</w:t>
      </w:r>
      <w:r>
        <w:rPr>
          <w:rFonts w:hint="eastAsia"/>
          <w:lang w:eastAsia="zh-CN"/>
        </w:rPr>
        <w:t>房屋建筑和市政基础设施工程现场质量安全监督评价办法</w:t>
      </w:r>
      <w:r>
        <w:rPr>
          <w:rFonts w:hint="eastAsia"/>
        </w:rPr>
        <w:t>（试行）</w:t>
      </w:r>
      <w:r>
        <w:t>》</w:t>
      </w:r>
      <w:r>
        <w:rPr>
          <w:rFonts w:hint="eastAsia"/>
        </w:rPr>
        <w:t>（以下统称</w:t>
      </w:r>
      <w:r>
        <w:t>《</w:t>
      </w:r>
      <w:r>
        <w:rPr>
          <w:rFonts w:hint="eastAsia"/>
        </w:rPr>
        <w:t>办法</w:t>
      </w:r>
      <w:r>
        <w:t>》</w:t>
      </w:r>
      <w:r>
        <w:rPr>
          <w:rFonts w:hint="eastAsia"/>
        </w:rPr>
        <w:t>）</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default" w:eastAsia="方正仿宋_GBK"/>
          <w:lang w:val="en-US" w:eastAsia="zh-CN"/>
        </w:rPr>
      </w:pPr>
      <w:r>
        <w:rPr>
          <w:rFonts w:hint="eastAsia" w:ascii="方正黑体_GBK" w:hAnsi="方正黑体_GBK" w:eastAsia="方正黑体_GBK" w:cs="方正黑体_GBK"/>
          <w:lang w:val="en-US" w:eastAsia="zh-CN"/>
        </w:rPr>
        <w:t>一、文件出台背景和目的</w:t>
      </w:r>
    </w:p>
    <w:p>
      <w:pPr>
        <w:keepNext w:val="0"/>
        <w:keepLines w:val="0"/>
        <w:pageBreakBefore w:val="0"/>
        <w:widowControl w:val="0"/>
        <w:kinsoku/>
        <w:wordWrap/>
        <w:overflowPunct/>
        <w:topLinePunct w:val="0"/>
        <w:autoSpaceDE/>
        <w:autoSpaceDN/>
        <w:bidi w:val="0"/>
        <w:adjustRightInd/>
        <w:snapToGrid/>
        <w:spacing w:line="590" w:lineRule="exact"/>
        <w:ind w:firstLine="640"/>
        <w:textAlignment w:val="auto"/>
      </w:pPr>
      <w:r>
        <w:rPr>
          <w:rFonts w:hint="eastAsia" w:ascii="方正楷体_GBK" w:hAnsi="方正楷体_GBK" w:eastAsia="方正楷体_GBK" w:cs="方正楷体_GBK"/>
          <w:lang w:val="en-US" w:eastAsia="zh-CN"/>
        </w:rPr>
        <w:t>（一）背景。</w:t>
      </w:r>
      <w:r>
        <w:rPr>
          <w:rFonts w:hint="eastAsia"/>
          <w:lang w:val="en-US" w:eastAsia="zh-CN"/>
        </w:rPr>
        <w:t>随着我区</w:t>
      </w:r>
      <w:r>
        <w:rPr>
          <w:rFonts w:hint="eastAsia"/>
        </w:rPr>
        <w:t>城市发展进入城市更新的重要时期，新发展阶段的高质量发展战略、持续快速增长的</w:t>
      </w:r>
      <w:r>
        <w:t>建筑</w:t>
      </w:r>
      <w:r>
        <w:rPr>
          <w:rFonts w:hint="eastAsia"/>
        </w:rPr>
        <w:t>工程建设规模、不断深化的“放管服”改革等都对</w:t>
      </w:r>
      <w:r>
        <w:t>建筑</w:t>
      </w:r>
      <w:r>
        <w:rPr>
          <w:rFonts w:hint="eastAsia"/>
        </w:rPr>
        <w:t>工程质量安全监管工作提出了更高要求。特别是</w:t>
      </w:r>
      <w:r>
        <w:rPr>
          <w:rFonts w:hint="eastAsia"/>
          <w:lang w:val="en-US" w:eastAsia="zh-CN"/>
        </w:rPr>
        <w:t>在</w:t>
      </w:r>
      <w:r>
        <w:rPr>
          <w:rFonts w:hint="eastAsia"/>
        </w:rPr>
        <w:t>近年来事业单位改革、行政执法改革的大背景下，一些地方</w:t>
      </w:r>
      <w:r>
        <w:rPr>
          <w:rFonts w:hint="eastAsia"/>
          <w:lang w:eastAsia="zh-CN"/>
        </w:rPr>
        <w:t>建设</w:t>
      </w:r>
      <w:r>
        <w:rPr>
          <w:rFonts w:hint="eastAsia"/>
        </w:rPr>
        <w:t>工程质量安全监管队伍存在弱化风险，个别地方甚至撤销了</w:t>
      </w:r>
      <w:r>
        <w:rPr>
          <w:rFonts w:hint="eastAsia"/>
          <w:lang w:eastAsia="zh-CN"/>
        </w:rPr>
        <w:t>建设</w:t>
      </w:r>
      <w:r>
        <w:rPr>
          <w:rFonts w:hint="eastAsia"/>
        </w:rPr>
        <w:t>工程质量安全监督站，监督队伍稳定性受到严峻挑战。监督队伍担负着守底线、保民生的重要职责，无论</w:t>
      </w:r>
      <w:r>
        <w:rPr>
          <w:rFonts w:hint="eastAsia"/>
          <w:lang w:eastAsia="zh-CN"/>
        </w:rPr>
        <w:t>如何</w:t>
      </w:r>
      <w:r>
        <w:rPr>
          <w:rFonts w:hint="eastAsia"/>
        </w:rPr>
        <w:t>改</w:t>
      </w:r>
      <w:r>
        <w:rPr>
          <w:rFonts w:hint="eastAsia"/>
          <w:lang w:eastAsia="zh-CN"/>
        </w:rPr>
        <w:t>革</w:t>
      </w:r>
      <w:r>
        <w:rPr>
          <w:rFonts w:hint="eastAsia"/>
        </w:rPr>
        <w:t>，法律赋予政府质量安全监管的职责不能丢</w:t>
      </w:r>
      <w:r>
        <w:rPr>
          <w:rFonts w:hint="eastAsia"/>
          <w:lang w:eastAsia="zh-CN"/>
        </w:rPr>
        <w:t>。</w:t>
      </w:r>
      <w:r>
        <w:t>《</w:t>
      </w:r>
      <w:r>
        <w:rPr>
          <w:rFonts w:hint="eastAsia"/>
        </w:rPr>
        <w:t>办法</w:t>
      </w:r>
      <w:r>
        <w:t>》</w:t>
      </w:r>
      <w:r>
        <w:rPr>
          <w:rFonts w:hint="eastAsia"/>
        </w:rPr>
        <w:t>重申</w:t>
      </w:r>
      <w:r>
        <w:rPr>
          <w:rFonts w:hint="eastAsia"/>
          <w:lang w:val="en-US" w:eastAsia="zh-CN"/>
        </w:rPr>
        <w:t>了住房城乡建设主管部门</w:t>
      </w:r>
      <w:r>
        <w:rPr>
          <w:rFonts w:hint="eastAsia"/>
        </w:rPr>
        <w:t>委托</w:t>
      </w:r>
      <w:r>
        <w:rPr>
          <w:rFonts w:hint="eastAsia"/>
          <w:lang w:eastAsia="zh-CN"/>
        </w:rPr>
        <w:t>建设</w:t>
      </w:r>
      <w:r>
        <w:rPr>
          <w:rFonts w:hint="eastAsia"/>
          <w:highlight w:val="none"/>
        </w:rPr>
        <w:t>工程质量安全</w:t>
      </w:r>
      <w:r>
        <w:rPr>
          <w:rFonts w:hint="eastAsia"/>
        </w:rPr>
        <w:t>监督机构</w:t>
      </w:r>
      <w:r>
        <w:rPr>
          <w:rFonts w:hint="eastAsia"/>
          <w:lang w:val="en-US" w:eastAsia="zh-CN"/>
        </w:rPr>
        <w:t>具体</w:t>
      </w:r>
      <w:r>
        <w:rPr>
          <w:rFonts w:hint="eastAsia"/>
        </w:rPr>
        <w:t>实施</w:t>
      </w:r>
      <w:r>
        <w:rPr>
          <w:rFonts w:hint="eastAsia"/>
          <w:lang w:val="en-US" w:eastAsia="zh-CN"/>
        </w:rPr>
        <w:t>工程质量安全</w:t>
      </w:r>
      <w:r>
        <w:rPr>
          <w:rFonts w:hint="eastAsia"/>
        </w:rPr>
        <w:t>监督</w:t>
      </w:r>
      <w:r>
        <w:rPr>
          <w:rFonts w:hint="eastAsia"/>
          <w:lang w:val="en-US" w:eastAsia="zh-CN"/>
        </w:rPr>
        <w:t>的</w:t>
      </w:r>
      <w:r>
        <w:rPr>
          <w:rFonts w:hint="eastAsia"/>
        </w:rPr>
        <w:t>工作</w:t>
      </w:r>
      <w:r>
        <w:rPr>
          <w:rFonts w:hint="eastAsia"/>
          <w:lang w:val="en-US" w:eastAsia="zh-CN"/>
        </w:rPr>
        <w:t>要求</w:t>
      </w:r>
      <w:r>
        <w:rPr>
          <w:rFonts w:hint="eastAsia"/>
        </w:rPr>
        <w:t>，</w:t>
      </w:r>
      <w:r>
        <w:rPr>
          <w:rFonts w:hint="eastAsia"/>
          <w:lang w:val="en-US" w:eastAsia="zh-CN"/>
        </w:rPr>
        <w:t>并通过</w:t>
      </w:r>
      <w:r>
        <w:rPr>
          <w:rFonts w:hint="eastAsia"/>
        </w:rPr>
        <w:t>将监督员</w:t>
      </w:r>
      <w:r>
        <w:rPr>
          <w:rFonts w:hint="eastAsia"/>
          <w:lang w:val="en-US" w:eastAsia="zh-CN"/>
        </w:rPr>
        <w:t>的</w:t>
      </w:r>
      <w:r>
        <w:rPr>
          <w:rFonts w:hint="eastAsia"/>
        </w:rPr>
        <w:t>日常监督工作转变为对</w:t>
      </w:r>
      <w:r>
        <w:t>建筑</w:t>
      </w:r>
      <w:r>
        <w:rPr>
          <w:rFonts w:hint="eastAsia"/>
          <w:lang w:val="en-US" w:eastAsia="zh-CN"/>
        </w:rPr>
        <w:t>工程</w:t>
      </w:r>
      <w:r>
        <w:rPr>
          <w:rFonts w:hint="eastAsia"/>
        </w:rPr>
        <w:t>项目的现场质量安全</w:t>
      </w:r>
      <w:r>
        <w:rPr>
          <w:rFonts w:hint="eastAsia"/>
          <w:lang w:val="en-US" w:eastAsia="zh-CN"/>
        </w:rPr>
        <w:t>监督</w:t>
      </w:r>
      <w:r>
        <w:rPr>
          <w:rFonts w:hint="eastAsia"/>
        </w:rPr>
        <w:t>评价</w:t>
      </w:r>
      <w:r>
        <w:rPr>
          <w:rFonts w:hint="eastAsia"/>
          <w:lang w:eastAsia="zh-CN"/>
        </w:rPr>
        <w:t>，</w:t>
      </w:r>
      <w:r>
        <w:rPr>
          <w:rFonts w:hint="eastAsia"/>
        </w:rPr>
        <w:t>督促</w:t>
      </w:r>
      <w:r>
        <w:t>建</w:t>
      </w:r>
      <w:r>
        <w:rPr>
          <w:rFonts w:hint="eastAsia"/>
          <w:lang w:eastAsia="zh-CN"/>
        </w:rPr>
        <w:t>设</w:t>
      </w:r>
      <w:r>
        <w:rPr>
          <w:rFonts w:hint="eastAsia"/>
          <w:highlight w:val="none"/>
        </w:rPr>
        <w:t>工程质量安全</w:t>
      </w:r>
      <w:r>
        <w:rPr>
          <w:rFonts w:hint="eastAsia"/>
        </w:rPr>
        <w:t>监督机构</w:t>
      </w:r>
      <w:r>
        <w:rPr>
          <w:rFonts w:hint="eastAsia"/>
          <w:lang w:val="en-US" w:eastAsia="zh-CN"/>
        </w:rPr>
        <w:t>认真</w:t>
      </w:r>
      <w:r>
        <w:rPr>
          <w:rFonts w:hint="eastAsia"/>
        </w:rPr>
        <w:t>行使监督管理职能，回归本职工作。</w:t>
      </w:r>
    </w:p>
    <w:p>
      <w:pPr>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default" w:ascii="方正黑体_GBK" w:hAnsi="方正黑体_GBK" w:eastAsia="方正仿宋_GBK" w:cs="方正黑体_GBK"/>
          <w:lang w:val="en-US" w:eastAsia="zh-CN"/>
        </w:rPr>
      </w:pPr>
      <w:r>
        <w:rPr>
          <w:rFonts w:hint="eastAsia" w:ascii="方正楷体_GBK" w:hAnsi="方正楷体_GBK" w:eastAsia="方正楷体_GBK" w:cs="方正楷体_GBK"/>
          <w:lang w:eastAsia="zh-CN"/>
        </w:rPr>
        <w:t>（</w:t>
      </w:r>
      <w:r>
        <w:rPr>
          <w:rFonts w:hint="eastAsia" w:ascii="方正楷体_GBK" w:hAnsi="方正楷体_GBK" w:eastAsia="方正楷体_GBK" w:cs="方正楷体_GBK"/>
          <w:lang w:val="en-US" w:eastAsia="zh-CN"/>
        </w:rPr>
        <w:t>二</w:t>
      </w:r>
      <w:r>
        <w:rPr>
          <w:rFonts w:hint="eastAsia" w:ascii="方正楷体_GBK" w:hAnsi="方正楷体_GBK" w:eastAsia="方正楷体_GBK" w:cs="方正楷体_GBK"/>
          <w:lang w:eastAsia="zh-CN"/>
        </w:rPr>
        <w:t>）</w:t>
      </w:r>
      <w:r>
        <w:rPr>
          <w:rFonts w:hint="eastAsia" w:ascii="方正楷体_GBK" w:hAnsi="方正楷体_GBK" w:eastAsia="方正楷体_GBK" w:cs="方正楷体_GBK"/>
          <w:lang w:val="en-US" w:eastAsia="zh-CN"/>
        </w:rPr>
        <w:t>目的。</w:t>
      </w:r>
      <w:r>
        <w:rPr>
          <w:rFonts w:hint="eastAsia"/>
          <w:lang w:eastAsia="zh-CN"/>
        </w:rPr>
        <w:t>一是</w:t>
      </w:r>
      <w:r>
        <w:rPr>
          <w:rFonts w:hint="eastAsia"/>
        </w:rPr>
        <w:t>通过量化计分</w:t>
      </w:r>
      <w:r>
        <w:rPr>
          <w:rFonts w:hint="eastAsia"/>
          <w:lang w:val="en-US" w:eastAsia="zh-CN"/>
        </w:rPr>
        <w:t>的方式</w:t>
      </w:r>
      <w:r>
        <w:rPr>
          <w:rFonts w:hint="eastAsia"/>
        </w:rPr>
        <w:t>及时反映出责任</w:t>
      </w:r>
      <w:r>
        <w:rPr>
          <w:rFonts w:hint="eastAsia"/>
          <w:lang w:val="en-US" w:eastAsia="zh-CN"/>
        </w:rPr>
        <w:t>单位的</w:t>
      </w:r>
      <w:r>
        <w:rPr>
          <w:rFonts w:hint="eastAsia"/>
        </w:rPr>
        <w:t>现场质量安全管理水平，</w:t>
      </w:r>
      <w:r>
        <w:rPr>
          <w:rFonts w:hint="eastAsia"/>
          <w:lang w:val="en-US" w:eastAsia="zh-CN"/>
        </w:rPr>
        <w:t>并将</w:t>
      </w:r>
      <w:r>
        <w:rPr>
          <w:rFonts w:hint="eastAsia"/>
          <w:highlight w:val="none"/>
        </w:rPr>
        <w:t>项目现场质量安全隐患</w:t>
      </w:r>
      <w:r>
        <w:rPr>
          <w:highlight w:val="none"/>
        </w:rPr>
        <w:t>信息进行网上公示</w:t>
      </w:r>
      <w:r>
        <w:rPr>
          <w:rFonts w:hint="eastAsia"/>
          <w:highlight w:val="none"/>
          <w:lang w:eastAsia="zh-CN"/>
        </w:rPr>
        <w:t>，</w:t>
      </w:r>
      <w:r>
        <w:rPr>
          <w:rFonts w:hint="eastAsia"/>
        </w:rPr>
        <w:t>倒逼责任</w:t>
      </w:r>
      <w:r>
        <w:rPr>
          <w:rFonts w:hint="eastAsia"/>
          <w:lang w:val="en-US" w:eastAsia="zh-CN"/>
        </w:rPr>
        <w:t>单位自觉</w:t>
      </w:r>
      <w:r>
        <w:rPr>
          <w:rFonts w:hint="eastAsia"/>
        </w:rPr>
        <w:t>加强施工现场质量安全工作的管理</w:t>
      </w:r>
      <w:r>
        <w:rPr>
          <w:rFonts w:hint="eastAsia"/>
          <w:lang w:eastAsia="zh-CN"/>
        </w:rPr>
        <w:t>，</w:t>
      </w:r>
      <w:r>
        <w:rPr>
          <w:rFonts w:hint="eastAsia"/>
        </w:rPr>
        <w:t>压实责任</w:t>
      </w:r>
      <w:r>
        <w:rPr>
          <w:rFonts w:hint="eastAsia"/>
          <w:lang w:val="en-US" w:eastAsia="zh-CN"/>
        </w:rPr>
        <w:t>单位</w:t>
      </w:r>
      <w:r>
        <w:rPr>
          <w:rFonts w:hint="eastAsia"/>
        </w:rPr>
        <w:t>主体责任</w:t>
      </w:r>
      <w:r>
        <w:rPr>
          <w:rFonts w:hint="eastAsia"/>
          <w:lang w:eastAsia="zh-CN"/>
        </w:rPr>
        <w:t>。二是</w:t>
      </w:r>
      <w:r>
        <w:rPr>
          <w:rFonts w:hint="eastAsia"/>
        </w:rPr>
        <w:t>通过监督员的监督评价记录，对监督员的日常工作进行考核，</w:t>
      </w:r>
      <w:r>
        <w:rPr>
          <w:rFonts w:hint="eastAsia"/>
          <w:lang w:val="en-US" w:eastAsia="zh-CN"/>
        </w:rPr>
        <w:t>以此</w:t>
      </w:r>
      <w:r>
        <w:rPr>
          <w:rFonts w:hint="eastAsia"/>
        </w:rPr>
        <w:t>完善原有</w:t>
      </w:r>
      <w:r>
        <w:rPr>
          <w:rFonts w:hint="eastAsia"/>
          <w:lang w:eastAsia="zh-CN"/>
        </w:rPr>
        <w:t>建设</w:t>
      </w:r>
      <w:r>
        <w:rPr>
          <w:rFonts w:hint="eastAsia"/>
          <w:highlight w:val="none"/>
        </w:rPr>
        <w:t>工程质量安全</w:t>
      </w:r>
      <w:r>
        <w:rPr>
          <w:rFonts w:hint="eastAsia"/>
        </w:rPr>
        <w:t>监督机构和监督人员的考核制度，压实</w:t>
      </w:r>
      <w:r>
        <w:rPr>
          <w:rFonts w:hint="eastAsia"/>
          <w:lang w:val="en-US" w:eastAsia="zh-CN"/>
        </w:rPr>
        <w:t>主管部门</w:t>
      </w:r>
      <w:r>
        <w:rPr>
          <w:rFonts w:hint="eastAsia"/>
        </w:rPr>
        <w:t>监管责任。</w:t>
      </w:r>
      <w:r>
        <w:rPr>
          <w:rFonts w:hint="eastAsia"/>
          <w:lang w:eastAsia="zh-CN"/>
        </w:rPr>
        <w:t>三是通过</w:t>
      </w:r>
      <w:r>
        <w:rPr>
          <w:rFonts w:hint="eastAsia"/>
        </w:rPr>
        <w:t>监督评价结果，</w:t>
      </w:r>
      <w:r>
        <w:rPr>
          <w:rFonts w:hint="eastAsia"/>
          <w:lang w:val="en-US" w:eastAsia="zh-CN"/>
        </w:rPr>
        <w:t>进一步</w:t>
      </w:r>
      <w:r>
        <w:rPr>
          <w:rFonts w:hint="eastAsia"/>
        </w:rPr>
        <w:t>摸清我区建筑工程质量安全底数</w:t>
      </w:r>
      <w:r>
        <w:rPr>
          <w:rFonts w:hint="eastAsia"/>
          <w:lang w:eastAsia="zh-CN"/>
        </w:rPr>
        <w:t>，</w:t>
      </w:r>
      <w:r>
        <w:rPr>
          <w:rFonts w:hint="eastAsia"/>
        </w:rPr>
        <w:t>了解</w:t>
      </w:r>
      <w:r>
        <w:rPr>
          <w:rFonts w:hint="eastAsia"/>
          <w:lang w:val="en-US" w:eastAsia="zh-CN"/>
        </w:rPr>
        <w:t>全区各地</w:t>
      </w:r>
      <w:r>
        <w:rPr>
          <w:rFonts w:hint="eastAsia"/>
        </w:rPr>
        <w:t>建筑工程质量安全管理</w:t>
      </w:r>
      <w:r>
        <w:rPr>
          <w:rFonts w:hint="eastAsia"/>
          <w:lang w:val="en-US" w:eastAsia="zh-CN"/>
        </w:rPr>
        <w:t>水平</w:t>
      </w:r>
      <w:r>
        <w:rPr>
          <w:rFonts w:hint="eastAsia"/>
        </w:rPr>
        <w:t>差异和不足</w:t>
      </w:r>
      <w:r>
        <w:rPr>
          <w:rFonts w:hint="eastAsia"/>
          <w:lang w:eastAsia="zh-CN"/>
        </w:rPr>
        <w:t>，</w:t>
      </w:r>
      <w:r>
        <w:rPr>
          <w:rFonts w:hint="eastAsia"/>
          <w:lang w:val="en-US" w:eastAsia="zh-CN"/>
        </w:rPr>
        <w:t>为部署下一步工作和制定相关政策提供依据。《办法》的出台，能够加快实现我区</w:t>
      </w:r>
      <w:r>
        <w:t>建筑</w:t>
      </w:r>
      <w:r>
        <w:rPr>
          <w:rFonts w:hint="eastAsia"/>
          <w:lang w:val="en-US" w:eastAsia="zh-CN"/>
        </w:rPr>
        <w:t>工程质量安全</w:t>
      </w:r>
      <w:r>
        <w:rPr>
          <w:rFonts w:hint="eastAsia"/>
        </w:rPr>
        <w:t>监督工作规范化、标准化、信息化</w:t>
      </w:r>
      <w:r>
        <w:rPr>
          <w:rFonts w:hint="eastAsia"/>
          <w:lang w:val="en-US" w:eastAsia="zh-CN"/>
        </w:rPr>
        <w:t>的“三化”目标。</w:t>
      </w:r>
    </w:p>
    <w:p>
      <w:pPr>
        <w:keepNext w:val="0"/>
        <w:keepLines w:val="0"/>
        <w:pageBreakBefore w:val="0"/>
        <w:widowControl w:val="0"/>
        <w:kinsoku/>
        <w:wordWrap/>
        <w:overflowPunct/>
        <w:topLinePunct w:val="0"/>
        <w:autoSpaceDE/>
        <w:autoSpaceDN/>
        <w:bidi w:val="0"/>
        <w:adjustRightInd/>
        <w:snapToGrid/>
        <w:spacing w:line="590" w:lineRule="exact"/>
        <w:textAlignment w:val="auto"/>
      </w:pPr>
      <w:r>
        <w:rPr>
          <w:rFonts w:hint="eastAsia" w:ascii="方正黑体_GBK" w:hAnsi="方正黑体_GBK" w:eastAsia="方正黑体_GBK" w:cs="方正黑体_GBK"/>
        </w:rPr>
        <w:t>二、主要内容</w:t>
      </w:r>
      <w:r>
        <w:rPr>
          <w:rFonts w:hint="eastAsia" w:ascii="方正黑体_GBK" w:hAnsi="方正黑体_GBK" w:eastAsia="方正黑体_GBK" w:cs="方正黑体_GBK"/>
          <w:lang w:val="en-US" w:eastAsia="zh-CN"/>
        </w:rPr>
        <w:t>解读</w:t>
      </w:r>
    </w:p>
    <w:p>
      <w:pPr>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eastAsia"/>
          <w:highlight w:val="none"/>
        </w:rPr>
      </w:pPr>
      <w:r>
        <w:rPr>
          <w:rFonts w:hint="eastAsia"/>
          <w:highlight w:val="none"/>
        </w:rPr>
        <w:t>《办法》共分为</w:t>
      </w:r>
      <w:r>
        <w:rPr>
          <w:rFonts w:hint="eastAsia"/>
          <w:highlight w:val="none"/>
          <w:lang w:val="en-US" w:eastAsia="zh-CN"/>
        </w:rPr>
        <w:t>六</w:t>
      </w:r>
      <w:r>
        <w:rPr>
          <w:rFonts w:hint="eastAsia"/>
          <w:highlight w:val="none"/>
        </w:rPr>
        <w:t>章</w:t>
      </w:r>
      <w:r>
        <w:rPr>
          <w:rFonts w:hint="eastAsia"/>
          <w:highlight w:val="none"/>
          <w:lang w:eastAsia="zh-CN"/>
        </w:rPr>
        <w:t>，</w:t>
      </w:r>
      <w:r>
        <w:rPr>
          <w:rFonts w:hint="eastAsia"/>
          <w:highlight w:val="none"/>
          <w:lang w:val="en-US" w:eastAsia="zh-CN"/>
        </w:rPr>
        <w:t>包括24</w:t>
      </w:r>
      <w:r>
        <w:rPr>
          <w:rFonts w:hint="eastAsia"/>
          <w:highlight w:val="none"/>
        </w:rPr>
        <w:t>项条款和3个附件。</w:t>
      </w:r>
    </w:p>
    <w:p>
      <w:pPr>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eastAsia"/>
          <w:highlight w:val="none"/>
          <w:lang w:eastAsia="zh-CN"/>
        </w:rPr>
      </w:pP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rPr>
        <w:t>一</w:t>
      </w: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lang w:val="en-US" w:eastAsia="zh-CN"/>
        </w:rPr>
        <w:t>第一章 总则</w:t>
      </w:r>
      <w:r>
        <w:rPr>
          <w:rFonts w:hint="eastAsia" w:ascii="方正楷体_GBK" w:hAnsi="方正楷体_GBK" w:eastAsia="方正楷体_GBK" w:cs="方正楷体_GBK"/>
          <w:highlight w:val="none"/>
          <w:lang w:val="en-US" w:eastAsia="zh-CN"/>
        </w:rPr>
        <w:t>（第一至第四条）：</w:t>
      </w:r>
      <w:r>
        <w:rPr>
          <w:rFonts w:hint="eastAsia"/>
          <w:highlight w:val="none"/>
        </w:rPr>
        <w:t>明确</w:t>
      </w:r>
      <w:r>
        <w:rPr>
          <w:rFonts w:hint="eastAsia"/>
          <w:highlight w:val="none"/>
          <w:lang w:val="en-US" w:eastAsia="zh-CN"/>
        </w:rPr>
        <w:t>了监督评价</w:t>
      </w:r>
      <w:r>
        <w:rPr>
          <w:rFonts w:hint="eastAsia"/>
          <w:highlight w:val="none"/>
        </w:rPr>
        <w:t>的适用范围、评价</w:t>
      </w:r>
      <w:r>
        <w:rPr>
          <w:rFonts w:hint="eastAsia"/>
          <w:highlight w:val="none"/>
          <w:lang w:val="en-US" w:eastAsia="zh-CN"/>
        </w:rPr>
        <w:t>主体、评价对象、评价方式及评价周期等内容。适用自治区行政区域内</w:t>
      </w:r>
      <w:r>
        <w:rPr>
          <w:rFonts w:hint="eastAsia"/>
          <w:highlight w:val="none"/>
        </w:rPr>
        <w:t>新建、扩建、改建</w:t>
      </w:r>
      <w:r>
        <w:rPr>
          <w:rFonts w:hint="eastAsia"/>
          <w:highlight w:val="none"/>
          <w:lang w:eastAsia="zh-CN"/>
        </w:rPr>
        <w:t>的建筑工程，</w:t>
      </w:r>
      <w:r>
        <w:rPr>
          <w:rFonts w:hint="eastAsia"/>
          <w:highlight w:val="none"/>
        </w:rPr>
        <w:t>评价机构</w:t>
      </w:r>
      <w:r>
        <w:rPr>
          <w:rFonts w:hint="eastAsia"/>
          <w:highlight w:val="none"/>
          <w:lang w:eastAsia="zh-CN"/>
        </w:rPr>
        <w:t>由</w:t>
      </w:r>
      <w:r>
        <w:rPr>
          <w:rFonts w:hint="eastAsia"/>
          <w:highlight w:val="none"/>
        </w:rPr>
        <w:t>住房城乡建设主管部门委托</w:t>
      </w:r>
      <w:r>
        <w:rPr>
          <w:rFonts w:hint="eastAsia"/>
          <w:highlight w:val="none"/>
          <w:lang w:eastAsia="zh-CN"/>
        </w:rPr>
        <w:t>的</w:t>
      </w:r>
      <w:r>
        <w:rPr>
          <w:rFonts w:hint="eastAsia"/>
          <w:lang w:eastAsia="zh-CN"/>
        </w:rPr>
        <w:t>建设</w:t>
      </w:r>
      <w:r>
        <w:rPr>
          <w:rFonts w:hint="eastAsia"/>
          <w:highlight w:val="none"/>
        </w:rPr>
        <w:t>工程质量安全监督机构实施</w:t>
      </w:r>
      <w:r>
        <w:rPr>
          <w:rFonts w:hint="eastAsia"/>
          <w:highlight w:val="none"/>
          <w:lang w:eastAsia="zh-CN"/>
        </w:rPr>
        <w:t>，对象为</w:t>
      </w:r>
      <w:r>
        <w:rPr>
          <w:highlight w:val="none"/>
        </w:rPr>
        <w:t>责任主体</w:t>
      </w:r>
      <w:r>
        <w:rPr>
          <w:rFonts w:hint="eastAsia"/>
          <w:highlight w:val="none"/>
        </w:rPr>
        <w:t>履行</w:t>
      </w:r>
      <w:r>
        <w:rPr>
          <w:highlight w:val="none"/>
        </w:rPr>
        <w:t>质量安全管理职责</w:t>
      </w:r>
      <w:r>
        <w:rPr>
          <w:rFonts w:hint="eastAsia"/>
          <w:highlight w:val="none"/>
        </w:rPr>
        <w:t>情况</w:t>
      </w:r>
      <w:r>
        <w:rPr>
          <w:rFonts w:hint="eastAsia"/>
          <w:highlight w:val="none"/>
          <w:lang w:eastAsia="zh-CN"/>
        </w:rPr>
        <w:t>，方式为量化计分，周期为项目施工周期。</w:t>
      </w:r>
    </w:p>
    <w:p>
      <w:pPr>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default"/>
          <w:highlight w:val="none"/>
          <w:lang w:val="en-US" w:eastAsia="zh-CN"/>
        </w:rPr>
      </w:pP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lang w:val="en-US" w:eastAsia="zh-CN"/>
        </w:rPr>
        <w:t>二</w:t>
      </w: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lang w:val="en-US" w:eastAsia="zh-CN"/>
        </w:rPr>
        <w:t>第二章 评价内容及计分办法</w:t>
      </w:r>
      <w:r>
        <w:rPr>
          <w:rFonts w:hint="eastAsia" w:ascii="方正楷体_GBK" w:hAnsi="方正楷体_GBK" w:eastAsia="方正楷体_GBK" w:cs="方正楷体_GBK"/>
          <w:highlight w:val="none"/>
          <w:lang w:val="en-US" w:eastAsia="zh-CN"/>
        </w:rPr>
        <w:t>（第五、第六条）：</w:t>
      </w:r>
      <w:r>
        <w:rPr>
          <w:rFonts w:hint="eastAsia"/>
          <w:highlight w:val="none"/>
          <w:lang w:val="en-US" w:eastAsia="zh-CN"/>
        </w:rPr>
        <w:t>明确了</w:t>
      </w:r>
      <w:r>
        <w:rPr>
          <w:rFonts w:hint="eastAsia"/>
          <w:highlight w:val="none"/>
        </w:rPr>
        <w:t>监督评价内容及计分</w:t>
      </w:r>
      <w:r>
        <w:rPr>
          <w:rFonts w:hint="eastAsia"/>
          <w:highlight w:val="none"/>
          <w:lang w:eastAsia="zh-CN"/>
        </w:rPr>
        <w:t>办法。</w:t>
      </w:r>
      <w:r>
        <w:rPr>
          <w:rFonts w:hint="eastAsia"/>
          <w:highlight w:val="none"/>
        </w:rPr>
        <w:t>评价</w:t>
      </w:r>
      <w:r>
        <w:rPr>
          <w:rFonts w:hint="eastAsia"/>
          <w:highlight w:val="none"/>
          <w:lang w:val="en-US" w:eastAsia="zh-CN"/>
        </w:rPr>
        <w:t>内容是</w:t>
      </w:r>
      <w:r>
        <w:rPr>
          <w:rFonts w:hint="eastAsia"/>
          <w:highlight w:val="none"/>
        </w:rPr>
        <w:t>根据现行法律法规、标准规范、规范性文件和专项工作部署要求确定</w:t>
      </w:r>
      <w:r>
        <w:rPr>
          <w:rFonts w:hint="eastAsia"/>
          <w:highlight w:val="none"/>
          <w:lang w:val="en-US" w:eastAsia="zh-CN"/>
        </w:rPr>
        <w:t>的</w:t>
      </w:r>
      <w:r>
        <w:rPr>
          <w:rFonts w:hint="eastAsia"/>
          <w:highlight w:val="none"/>
        </w:rPr>
        <w:t>，必要时可进行更新。</w:t>
      </w:r>
      <w:r>
        <w:rPr>
          <w:rFonts w:hint="eastAsia"/>
          <w:highlight w:val="none"/>
          <w:lang w:val="en-US" w:eastAsia="zh-CN"/>
        </w:rPr>
        <w:t>具体评价内容和计分方法以附件形式公布。</w:t>
      </w:r>
    </w:p>
    <w:p>
      <w:pPr>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eastAsia"/>
          <w:highlight w:val="none"/>
        </w:rPr>
      </w:pP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rPr>
        <w:t>三</w:t>
      </w: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lang w:val="en-US" w:eastAsia="zh-CN"/>
        </w:rPr>
        <w:t>第三章 信息采集</w:t>
      </w:r>
      <w:r>
        <w:rPr>
          <w:rFonts w:hint="eastAsia" w:ascii="方正楷体_GBK" w:hAnsi="方正楷体_GBK" w:eastAsia="方正楷体_GBK" w:cs="方正楷体_GBK"/>
          <w:highlight w:val="none"/>
          <w:lang w:val="en-US" w:eastAsia="zh-CN"/>
        </w:rPr>
        <w:t>（第七条至第十二条）：</w:t>
      </w:r>
      <w:r>
        <w:rPr>
          <w:rFonts w:hint="eastAsia"/>
          <w:highlight w:val="none"/>
          <w:lang w:val="en-US" w:eastAsia="zh-CN"/>
        </w:rPr>
        <w:t>明确了监督评价的</w:t>
      </w:r>
      <w:r>
        <w:rPr>
          <w:rFonts w:hint="eastAsia"/>
          <w:highlight w:val="none"/>
        </w:rPr>
        <w:t>信息采集要求</w:t>
      </w:r>
      <w:r>
        <w:rPr>
          <w:rFonts w:hint="eastAsia"/>
          <w:highlight w:val="none"/>
          <w:lang w:eastAsia="zh-CN"/>
        </w:rPr>
        <w:t>。</w:t>
      </w:r>
      <w:r>
        <w:rPr>
          <w:rFonts w:hint="eastAsia"/>
          <w:highlight w:val="none"/>
          <w:lang w:val="en-US" w:eastAsia="zh-CN"/>
        </w:rPr>
        <w:t>罗列了必须进行监督评价的主要情形，明确了监督评价信息的录入方式、</w:t>
      </w:r>
      <w:r>
        <w:rPr>
          <w:rFonts w:hint="eastAsia"/>
          <w:highlight w:val="none"/>
        </w:rPr>
        <w:t>开展监督评价工作</w:t>
      </w:r>
      <w:r>
        <w:rPr>
          <w:rFonts w:hint="eastAsia"/>
          <w:highlight w:val="none"/>
          <w:lang w:val="en-US" w:eastAsia="zh-CN"/>
        </w:rPr>
        <w:t>的必要流程</w:t>
      </w:r>
      <w:r>
        <w:rPr>
          <w:rFonts w:hint="eastAsia"/>
          <w:highlight w:val="none"/>
          <w:lang w:eastAsia="zh-CN"/>
        </w:rPr>
        <w:t>、</w:t>
      </w:r>
      <w:r>
        <w:rPr>
          <w:rFonts w:hint="eastAsia"/>
          <w:highlight w:val="none"/>
          <w:lang w:val="en-US" w:eastAsia="zh-CN"/>
        </w:rPr>
        <w:t>监督</w:t>
      </w:r>
      <w:r>
        <w:rPr>
          <w:rFonts w:hint="eastAsia"/>
          <w:highlight w:val="none"/>
        </w:rPr>
        <w:t>评价人员</w:t>
      </w:r>
      <w:r>
        <w:rPr>
          <w:rFonts w:hint="eastAsia"/>
          <w:highlight w:val="none"/>
          <w:lang w:val="en-US" w:eastAsia="zh-CN"/>
        </w:rPr>
        <w:t>资格和监督评价资料的存档</w:t>
      </w:r>
      <w:r>
        <w:rPr>
          <w:rFonts w:hint="eastAsia"/>
          <w:highlight w:val="none"/>
        </w:rPr>
        <w:t>要求</w:t>
      </w:r>
      <w:r>
        <w:rPr>
          <w:rFonts w:hint="eastAsia"/>
          <w:highlight w:val="none"/>
          <w:lang w:val="en-US" w:eastAsia="zh-CN"/>
        </w:rPr>
        <w:t>等事项</w:t>
      </w:r>
      <w:r>
        <w:rPr>
          <w:rFonts w:hint="eastAsia"/>
          <w:highlight w:val="none"/>
        </w:rPr>
        <w:t>。</w:t>
      </w:r>
    </w:p>
    <w:p>
      <w:pPr>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eastAsia"/>
          <w:highlight w:val="none"/>
        </w:rPr>
      </w:pP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rPr>
        <w:t>四</w:t>
      </w: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lang w:val="en-US" w:eastAsia="zh-CN"/>
        </w:rPr>
        <w:t>第四章 评价信息的录入、异议处理和审核</w:t>
      </w:r>
      <w:r>
        <w:rPr>
          <w:rFonts w:hint="eastAsia" w:ascii="方正楷体_GBK" w:hAnsi="方正楷体_GBK" w:eastAsia="方正楷体_GBK" w:cs="方正楷体_GBK"/>
          <w:highlight w:val="none"/>
          <w:lang w:val="en-US" w:eastAsia="zh-CN"/>
        </w:rPr>
        <w:t>（第十三条至第十九条）：</w:t>
      </w:r>
      <w:r>
        <w:rPr>
          <w:rFonts w:hint="eastAsia"/>
          <w:highlight w:val="none"/>
          <w:lang w:val="en-US" w:eastAsia="zh-CN"/>
        </w:rPr>
        <w:t>明确</w:t>
      </w:r>
      <w:r>
        <w:rPr>
          <w:rFonts w:hint="eastAsia"/>
          <w:highlight w:val="none"/>
        </w:rPr>
        <w:t>监督评价信息的</w:t>
      </w:r>
      <w:r>
        <w:rPr>
          <w:rFonts w:hint="eastAsia"/>
          <w:highlight w:val="none"/>
          <w:lang w:val="en-US" w:eastAsia="zh-CN"/>
        </w:rPr>
        <w:t>录入</w:t>
      </w:r>
      <w:r>
        <w:rPr>
          <w:rFonts w:hint="eastAsia"/>
          <w:highlight w:val="none"/>
        </w:rPr>
        <w:t>、异议处理和审核要求</w:t>
      </w:r>
      <w:r>
        <w:rPr>
          <w:rFonts w:hint="eastAsia"/>
          <w:highlight w:val="none"/>
          <w:lang w:eastAsia="zh-CN"/>
        </w:rPr>
        <w:t>。</w:t>
      </w:r>
      <w:r>
        <w:rPr>
          <w:rFonts w:hint="eastAsia"/>
          <w:highlight w:val="none"/>
          <w:lang w:val="en-US" w:eastAsia="zh-CN"/>
        </w:rPr>
        <w:t>主要对监督评价信息的网上公示、异议处理、中止评价、停止评价提出具体要求，明确相关单位在以上事项的具体责任。第三、四章主要是根据新颁布《行政处罚法》，严格落实</w:t>
      </w:r>
      <w:r>
        <w:rPr>
          <w:rFonts w:hint="eastAsia" w:ascii="Times New Roman" w:hAnsi="Times New Roman" w:eastAsia="方正仿宋_GBK" w:cs="Times New Roman"/>
          <w:i w:val="0"/>
          <w:caps w:val="0"/>
          <w:color w:val="auto"/>
          <w:spacing w:val="0"/>
          <w:sz w:val="32"/>
          <w:szCs w:val="32"/>
          <w:highlight w:val="none"/>
          <w:shd w:val="clear" w:fill="auto"/>
        </w:rPr>
        <w:t>行政执法公示制度、执法全过程记录制度、重大执法决定法制审核制度</w:t>
      </w:r>
      <w:r>
        <w:rPr>
          <w:rFonts w:hint="eastAsia" w:ascii="Times New Roman" w:hAnsi="Times New Roman" w:eastAsia="方正仿宋_GBK" w:cs="Times New Roman"/>
          <w:i w:val="0"/>
          <w:caps w:val="0"/>
          <w:color w:val="auto"/>
          <w:spacing w:val="0"/>
          <w:sz w:val="32"/>
          <w:szCs w:val="32"/>
          <w:highlight w:val="none"/>
          <w:shd w:val="clear" w:fill="auto"/>
          <w:lang w:eastAsia="zh-CN"/>
        </w:rPr>
        <w:t>等</w:t>
      </w:r>
      <w:r>
        <w:rPr>
          <w:rFonts w:hint="eastAsia" w:ascii="Times New Roman" w:hAnsi="Times New Roman" w:eastAsia="方正仿宋_GBK" w:cs="Times New Roman"/>
          <w:i w:val="0"/>
          <w:caps w:val="0"/>
          <w:color w:val="auto"/>
          <w:spacing w:val="0"/>
          <w:sz w:val="32"/>
          <w:szCs w:val="32"/>
          <w:highlight w:val="none"/>
          <w:shd w:val="clear" w:fill="auto"/>
        </w:rPr>
        <w:t>“三项制度”</w:t>
      </w:r>
      <w:r>
        <w:rPr>
          <w:rFonts w:hint="eastAsia" w:ascii="Times New Roman" w:hAnsi="Times New Roman" w:eastAsia="方正仿宋_GBK" w:cs="Times New Roman"/>
          <w:i w:val="0"/>
          <w:caps w:val="0"/>
          <w:color w:val="auto"/>
          <w:spacing w:val="0"/>
          <w:sz w:val="32"/>
          <w:szCs w:val="32"/>
          <w:highlight w:val="none"/>
          <w:shd w:val="clear" w:fill="auto"/>
          <w:lang w:eastAsia="zh-CN"/>
        </w:rPr>
        <w:t>，</w:t>
      </w:r>
      <w:r>
        <w:rPr>
          <w:rFonts w:hint="eastAsia" w:ascii="Times New Roman" w:hAnsi="Times New Roman" w:eastAsia="方正仿宋_GBK" w:cs="Times New Roman"/>
          <w:i w:val="0"/>
          <w:caps w:val="0"/>
          <w:color w:val="auto"/>
          <w:spacing w:val="0"/>
          <w:sz w:val="32"/>
          <w:szCs w:val="32"/>
          <w:highlight w:val="none"/>
          <w:shd w:val="clear" w:fill="auto"/>
        </w:rPr>
        <w:t>聚焦行政执法的源头、过程和结果三个关键环节，</w:t>
      </w:r>
      <w:r>
        <w:rPr>
          <w:rFonts w:hint="eastAsia" w:cs="Times New Roman"/>
          <w:i w:val="0"/>
          <w:caps w:val="0"/>
          <w:spacing w:val="0"/>
          <w:sz w:val="32"/>
          <w:szCs w:val="32"/>
          <w:highlight w:val="none"/>
          <w:shd w:val="clear"/>
          <w:lang w:eastAsia="zh-CN"/>
        </w:rPr>
        <w:t>进一步完善执法程序</w:t>
      </w:r>
      <w:r>
        <w:rPr>
          <w:rFonts w:hint="eastAsia" w:ascii="Times New Roman" w:hAnsi="Times New Roman" w:eastAsia="方正仿宋_GBK" w:cs="Times New Roman"/>
          <w:i w:val="0"/>
          <w:caps w:val="0"/>
          <w:color w:val="auto"/>
          <w:spacing w:val="0"/>
          <w:sz w:val="32"/>
          <w:szCs w:val="32"/>
          <w:highlight w:val="none"/>
          <w:shd w:val="clear" w:fill="auto"/>
        </w:rPr>
        <w:t>，切实保障人民群众合法权益</w:t>
      </w:r>
      <w:r>
        <w:rPr>
          <w:rFonts w:hint="eastAsia"/>
          <w:highlight w:val="none"/>
        </w:rPr>
        <w:t>。</w:t>
      </w:r>
    </w:p>
    <w:p>
      <w:pPr>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eastAsia"/>
          <w:highlight w:val="none"/>
        </w:rPr>
      </w:pP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rPr>
        <w:t>五</w:t>
      </w: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lang w:val="en-US" w:eastAsia="zh-CN"/>
        </w:rPr>
        <w:t>第五章 评价结果的应用</w:t>
      </w:r>
      <w:r>
        <w:rPr>
          <w:rFonts w:hint="eastAsia" w:ascii="方正楷体_GBK" w:hAnsi="方正楷体_GBK" w:eastAsia="方正楷体_GBK" w:cs="方正楷体_GBK"/>
          <w:highlight w:val="none"/>
          <w:lang w:val="en-US" w:eastAsia="zh-CN"/>
        </w:rPr>
        <w:t>（第二十条、第二十一条）：</w:t>
      </w:r>
      <w:r>
        <w:rPr>
          <w:rFonts w:hint="eastAsia"/>
          <w:highlight w:val="none"/>
          <w:lang w:val="en-US" w:eastAsia="zh-CN"/>
        </w:rPr>
        <w:t>明确监督</w:t>
      </w:r>
      <w:r>
        <w:rPr>
          <w:rFonts w:hint="eastAsia"/>
          <w:highlight w:val="none"/>
        </w:rPr>
        <w:t>评价结果的应用</w:t>
      </w:r>
      <w:r>
        <w:rPr>
          <w:rFonts w:hint="eastAsia"/>
          <w:highlight w:val="none"/>
          <w:lang w:eastAsia="zh-CN"/>
        </w:rPr>
        <w:t>。</w:t>
      </w:r>
      <w:r>
        <w:rPr>
          <w:rFonts w:hint="eastAsia"/>
          <w:highlight w:val="none"/>
          <w:lang w:val="en-US" w:eastAsia="zh-CN"/>
        </w:rPr>
        <w:t>主要有两个应用方式，一是</w:t>
      </w:r>
      <w:r>
        <w:rPr>
          <w:rFonts w:hint="eastAsia"/>
          <w:highlight w:val="none"/>
        </w:rPr>
        <w:t>作为各级住房城乡建设主管部门</w:t>
      </w:r>
      <w:r>
        <w:rPr>
          <w:rFonts w:hint="eastAsia"/>
          <w:highlight w:val="none"/>
          <w:lang w:val="en-US" w:eastAsia="zh-CN"/>
        </w:rPr>
        <w:t>对辖区内在建项目</w:t>
      </w:r>
      <w:r>
        <w:rPr>
          <w:rFonts w:hint="eastAsia"/>
          <w:highlight w:val="none"/>
        </w:rPr>
        <w:t>实行差异化监管的依据</w:t>
      </w:r>
      <w:r>
        <w:rPr>
          <w:rFonts w:hint="eastAsia"/>
          <w:highlight w:val="none"/>
          <w:lang w:eastAsia="zh-CN"/>
        </w:rPr>
        <w:t>，</w:t>
      </w:r>
      <w:r>
        <w:rPr>
          <w:rFonts w:hint="eastAsia"/>
          <w:highlight w:val="none"/>
        </w:rPr>
        <w:t>自治区住房城乡建设主管部门</w:t>
      </w:r>
      <w:r>
        <w:rPr>
          <w:rFonts w:hint="eastAsia"/>
          <w:highlight w:val="none"/>
          <w:lang w:val="en-US" w:eastAsia="zh-CN"/>
        </w:rPr>
        <w:t>也</w:t>
      </w:r>
      <w:r>
        <w:rPr>
          <w:rFonts w:hint="eastAsia"/>
          <w:highlight w:val="none"/>
        </w:rPr>
        <w:t>将参照监督评价计分值对责任主体实行信用评价和差异化监管</w:t>
      </w:r>
      <w:r>
        <w:rPr>
          <w:rFonts w:hint="eastAsia"/>
          <w:highlight w:val="none"/>
          <w:lang w:eastAsia="zh-CN"/>
        </w:rPr>
        <w:t>；</w:t>
      </w:r>
      <w:r>
        <w:rPr>
          <w:rFonts w:hint="eastAsia"/>
          <w:highlight w:val="none"/>
          <w:lang w:val="en-US" w:eastAsia="zh-CN"/>
        </w:rPr>
        <w:t>二是作为</w:t>
      </w:r>
      <w:r>
        <w:rPr>
          <w:rFonts w:hint="eastAsia"/>
          <w:highlight w:val="none"/>
        </w:rPr>
        <w:t>各级住房城乡建设主管部门</w:t>
      </w:r>
      <w:r>
        <w:rPr>
          <w:rFonts w:hint="eastAsia"/>
          <w:highlight w:val="none"/>
          <w:lang w:val="en-US" w:eastAsia="zh-CN"/>
        </w:rPr>
        <w:t>对</w:t>
      </w:r>
      <w:r>
        <w:rPr>
          <w:rFonts w:hint="eastAsia"/>
          <w:highlight w:val="none"/>
        </w:rPr>
        <w:t>监督员业务记录和年度素质考评的依据。</w:t>
      </w:r>
    </w:p>
    <w:p>
      <w:pPr>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default"/>
          <w:highlight w:val="none"/>
          <w:lang w:val="en-US" w:eastAsia="zh-CN"/>
        </w:rPr>
      </w:pPr>
      <w:r>
        <w:rPr>
          <w:rFonts w:hint="eastAsia" w:ascii="方正楷体_GBK" w:hAnsi="方正楷体_GBK" w:eastAsia="方正楷体_GBK" w:cs="方正楷体_GBK"/>
          <w:highlight w:val="none"/>
          <w:lang w:val="en-US" w:eastAsia="zh-CN"/>
        </w:rPr>
        <w:t>（六）</w:t>
      </w:r>
      <w:r>
        <w:rPr>
          <w:rFonts w:hint="eastAsia" w:ascii="方正楷体_GBK" w:hAnsi="方正楷体_GBK" w:eastAsia="方正楷体_GBK" w:cs="方正楷体_GBK"/>
          <w:highlight w:val="none"/>
          <w:lang w:val="en-US" w:eastAsia="zh-CN"/>
        </w:rPr>
        <w:t>第六章 附则</w:t>
      </w:r>
      <w:r>
        <w:rPr>
          <w:rFonts w:hint="eastAsia" w:ascii="方正楷体_GBK" w:hAnsi="方正楷体_GBK" w:eastAsia="方正楷体_GBK" w:cs="方正楷体_GBK"/>
          <w:highlight w:val="none"/>
          <w:lang w:val="en-US" w:eastAsia="zh-CN"/>
        </w:rPr>
        <w:t>（第二十条至第二十四条）：</w:t>
      </w:r>
      <w:r>
        <w:rPr>
          <w:rFonts w:hint="eastAsia"/>
          <w:highlight w:val="none"/>
          <w:lang w:val="en-US" w:eastAsia="zh-CN"/>
        </w:rPr>
        <w:t>强调监督评价工作接受社会监督。要求自治区、设区市住房城乡建设主管部门对下级住房城乡建设主管部门开展监督评价工作的规范性和真实性进行监督，评价机构对监督评价过程中发现的违法违规行为要严管重罚，确保监督评价工作公平公正，取得实效。</w:t>
      </w:r>
    </w:p>
    <w:p>
      <w:pPr>
        <w:keepNext w:val="0"/>
        <w:keepLines w:val="0"/>
        <w:pageBreakBefore w:val="0"/>
        <w:widowControl w:val="0"/>
        <w:kinsoku/>
        <w:wordWrap/>
        <w:overflowPunct/>
        <w:topLinePunct w:val="0"/>
        <w:autoSpaceDE/>
        <w:autoSpaceDN/>
        <w:bidi w:val="0"/>
        <w:adjustRightInd/>
        <w:snapToGrid/>
        <w:spacing w:line="590" w:lineRule="exact"/>
        <w:ind w:firstLine="640"/>
        <w:textAlignment w:val="auto"/>
        <w:rPr>
          <w:rFonts w:hint="default"/>
          <w:highlight w:val="none"/>
          <w:lang w:val="en-US" w:eastAsia="zh-CN"/>
        </w:rPr>
      </w:pPr>
    </w:p>
    <w:sectPr>
      <w:headerReference r:id="rId7" w:type="first"/>
      <w:footerReference r:id="rId10" w:type="first"/>
      <w:headerReference r:id="rId5" w:type="default"/>
      <w:footerReference r:id="rId8" w:type="default"/>
      <w:headerReference r:id="rId6" w:type="even"/>
      <w:footerReference r:id="rId9" w:type="even"/>
      <w:pgSz w:w="11906" w:h="16838"/>
      <w:pgMar w:top="1928" w:right="1417" w:bottom="1814" w:left="1417" w:header="851" w:footer="1134"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F97BAFE-B59C-406E-B36C-A6FC8E25911A}"/>
  </w:font>
  <w:font w:name="Arial">
    <w:panose1 w:val="020B0604020202020204"/>
    <w:charset w:val="01"/>
    <w:family w:val="swiss"/>
    <w:pitch w:val="default"/>
    <w:sig w:usb0="E0002AFF" w:usb1="C0007843" w:usb2="00000009" w:usb3="00000000" w:csb0="400001FF" w:csb1="FFFF0000"/>
    <w:embedRegular r:id="rId2" w:fontKey="{2C71DD9A-8FF1-4EB7-BF9F-55BCDF2B9CB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910644C7-C038-43C2-B070-12D72C547428}"/>
  </w:font>
  <w:font w:name="Symbol">
    <w:panose1 w:val="05050102010706020507"/>
    <w:charset w:val="02"/>
    <w:family w:val="roman"/>
    <w:pitch w:val="default"/>
    <w:sig w:usb0="00000000" w:usb1="00000000" w:usb2="00000000" w:usb3="00000000" w:csb0="80000000" w:csb1="00000000"/>
    <w:embedRegular r:id="rId4" w:fontKey="{3CFA5A80-57FE-482F-9C70-52DF30270126}"/>
  </w:font>
  <w:font w:name="Calibri">
    <w:panose1 w:val="020F0502020204030204"/>
    <w:charset w:val="00"/>
    <w:family w:val="swiss"/>
    <w:pitch w:val="default"/>
    <w:sig w:usb0="E10002FF" w:usb1="4000ACFF" w:usb2="00000009" w:usb3="00000000" w:csb0="2000019F" w:csb1="00000000"/>
    <w:embedRegular r:id="rId5" w:fontKey="{D779906C-5CFA-4440-8718-FDFE6FB2DA24}"/>
  </w:font>
  <w:font w:name="方正仿宋_GBK">
    <w:panose1 w:val="03000509000000000000"/>
    <w:charset w:val="86"/>
    <w:family w:val="script"/>
    <w:pitch w:val="default"/>
    <w:sig w:usb0="00000001" w:usb1="080E0000" w:usb2="00000000" w:usb3="00000000" w:csb0="00040000" w:csb1="00000000"/>
    <w:embedRegular r:id="rId6" w:fontKey="{F47DE15D-34D5-4DC8-B894-EECD162A33EE}"/>
  </w:font>
  <w:font w:name="方正黑体_GBK">
    <w:panose1 w:val="03000509000000000000"/>
    <w:charset w:val="86"/>
    <w:family w:val="script"/>
    <w:pitch w:val="default"/>
    <w:sig w:usb0="00000001" w:usb1="080E0000" w:usb2="00000000" w:usb3="00000000" w:csb0="00040000" w:csb1="00000000"/>
    <w:embedRegular r:id="rId7" w:fontKey="{91D9BEE7-8423-47C7-B482-BD8528EF6574}"/>
  </w:font>
  <w:font w:name="方正楷体_GBK">
    <w:panose1 w:val="03000509000000000000"/>
    <w:charset w:val="86"/>
    <w:family w:val="script"/>
    <w:pitch w:val="default"/>
    <w:sig w:usb0="00000001" w:usb1="080E0000" w:usb2="00000000" w:usb3="00000000" w:csb0="00040000" w:csb1="00000000"/>
    <w:embedRegular r:id="rId8" w:fontKey="{F5D5A738-91B9-4646-809B-1418D7F9683F}"/>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embedRegular r:id="rId9" w:fontKey="{BDB9B19B-1797-496D-9497-F530B2C9A99E}"/>
  </w:font>
  <w:font w:name="方正小标宋_GBK">
    <w:panose1 w:val="03000509000000000000"/>
    <w:charset w:val="86"/>
    <w:family w:val="script"/>
    <w:pitch w:val="default"/>
    <w:sig w:usb0="00000001" w:usb1="080E0000" w:usb2="00000000" w:usb3="00000000" w:csb0="00040000" w:csb1="00000000"/>
    <w:embedRegular r:id="rId10" w:fontKey="{9B26DFED-D2A9-4A25-9294-DA214604C72F}"/>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ind w:firstLine="0" w:firstLineChars="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1"/>
                      <w:ind w:firstLine="0" w:firstLineChars="0"/>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48489F"/>
    <w:rsid w:val="00377353"/>
    <w:rsid w:val="00401485"/>
    <w:rsid w:val="00685EDC"/>
    <w:rsid w:val="007E3D18"/>
    <w:rsid w:val="00AF0E44"/>
    <w:rsid w:val="00E223A9"/>
    <w:rsid w:val="00E42CBC"/>
    <w:rsid w:val="01F60218"/>
    <w:rsid w:val="02A86964"/>
    <w:rsid w:val="046A284E"/>
    <w:rsid w:val="059A4012"/>
    <w:rsid w:val="06E708A0"/>
    <w:rsid w:val="074154DD"/>
    <w:rsid w:val="0A2400C8"/>
    <w:rsid w:val="0C2C7A25"/>
    <w:rsid w:val="0CB075E5"/>
    <w:rsid w:val="135C68E7"/>
    <w:rsid w:val="1AA0251D"/>
    <w:rsid w:val="1C5959A3"/>
    <w:rsid w:val="1F48331D"/>
    <w:rsid w:val="1FFB7B8B"/>
    <w:rsid w:val="204B7701"/>
    <w:rsid w:val="20DE1ACC"/>
    <w:rsid w:val="2155441A"/>
    <w:rsid w:val="24825350"/>
    <w:rsid w:val="25A96B77"/>
    <w:rsid w:val="293C0B91"/>
    <w:rsid w:val="29E01884"/>
    <w:rsid w:val="2B4216C6"/>
    <w:rsid w:val="2B9E2A3A"/>
    <w:rsid w:val="2E3228D9"/>
    <w:rsid w:val="2E575DC4"/>
    <w:rsid w:val="2F023FA1"/>
    <w:rsid w:val="2F7F5F6F"/>
    <w:rsid w:val="35EF127D"/>
    <w:rsid w:val="374328AD"/>
    <w:rsid w:val="37C75D9A"/>
    <w:rsid w:val="39183FCD"/>
    <w:rsid w:val="3A426BC5"/>
    <w:rsid w:val="3BE553D3"/>
    <w:rsid w:val="3D634D98"/>
    <w:rsid w:val="3D8E72C3"/>
    <w:rsid w:val="3DC643BF"/>
    <w:rsid w:val="3E240709"/>
    <w:rsid w:val="3F48489F"/>
    <w:rsid w:val="3F616517"/>
    <w:rsid w:val="40EF38BB"/>
    <w:rsid w:val="41232415"/>
    <w:rsid w:val="41BA008E"/>
    <w:rsid w:val="44F72F52"/>
    <w:rsid w:val="461060B4"/>
    <w:rsid w:val="46A10B87"/>
    <w:rsid w:val="51BA678C"/>
    <w:rsid w:val="545044AF"/>
    <w:rsid w:val="546F70AE"/>
    <w:rsid w:val="5683060C"/>
    <w:rsid w:val="5742647E"/>
    <w:rsid w:val="5A860C44"/>
    <w:rsid w:val="5D00049F"/>
    <w:rsid w:val="5D461D26"/>
    <w:rsid w:val="5EFB0DB2"/>
    <w:rsid w:val="5F776AA1"/>
    <w:rsid w:val="60AA5A8B"/>
    <w:rsid w:val="61C725D5"/>
    <w:rsid w:val="633A59E6"/>
    <w:rsid w:val="6344796F"/>
    <w:rsid w:val="634B0DFA"/>
    <w:rsid w:val="63743E57"/>
    <w:rsid w:val="63CD681A"/>
    <w:rsid w:val="64320A86"/>
    <w:rsid w:val="655F5E51"/>
    <w:rsid w:val="670610C0"/>
    <w:rsid w:val="676F5250"/>
    <w:rsid w:val="695C0876"/>
    <w:rsid w:val="6B781657"/>
    <w:rsid w:val="6D8754A3"/>
    <w:rsid w:val="6DB7192F"/>
    <w:rsid w:val="6E9B04FB"/>
    <w:rsid w:val="6EB74489"/>
    <w:rsid w:val="6F8078D8"/>
    <w:rsid w:val="705C3C6A"/>
    <w:rsid w:val="70E235F8"/>
    <w:rsid w:val="72B957E2"/>
    <w:rsid w:val="77D70D8D"/>
    <w:rsid w:val="78E50A7B"/>
    <w:rsid w:val="7A2F6BC3"/>
    <w:rsid w:val="7DB14B81"/>
    <w:rsid w:val="7DBD2307"/>
    <w:rsid w:val="7E8303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50" w:lineRule="exact"/>
      <w:ind w:firstLine="880" w:firstLineChars="200"/>
      <w:jc w:val="both"/>
    </w:pPr>
    <w:rPr>
      <w:rFonts w:ascii="Times New Roman" w:hAnsi="Times New Roman" w:eastAsia="方正仿宋_GBK" w:cs="Times New Roman"/>
      <w:kern w:val="2"/>
      <w:sz w:val="32"/>
      <w:szCs w:val="32"/>
      <w:lang w:val="en-US" w:eastAsia="zh-CN" w:bidi="ar-SA"/>
    </w:rPr>
  </w:style>
  <w:style w:type="paragraph" w:styleId="7">
    <w:name w:val="heading 1"/>
    <w:basedOn w:val="1"/>
    <w:next w:val="1"/>
    <w:link w:val="24"/>
    <w:qFormat/>
    <w:uiPriority w:val="0"/>
    <w:pPr>
      <w:keepNext/>
      <w:keepLines/>
      <w:outlineLvl w:val="0"/>
    </w:pPr>
    <w:rPr>
      <w:rFonts w:eastAsia="方正黑体_GBK"/>
      <w:kern w:val="44"/>
    </w:rPr>
  </w:style>
  <w:style w:type="paragraph" w:styleId="8">
    <w:name w:val="heading 2"/>
    <w:basedOn w:val="1"/>
    <w:next w:val="1"/>
    <w:unhideWhenUsed/>
    <w:qFormat/>
    <w:uiPriority w:val="0"/>
    <w:pPr>
      <w:keepNext/>
      <w:keepLines/>
      <w:spacing w:line="590" w:lineRule="exact"/>
      <w:outlineLvl w:val="1"/>
    </w:pPr>
    <w:rPr>
      <w:rFonts w:eastAsia="方正黑体_GBK"/>
    </w:rPr>
  </w:style>
  <w:style w:type="paragraph" w:styleId="9">
    <w:name w:val="heading 3"/>
    <w:basedOn w:val="1"/>
    <w:next w:val="1"/>
    <w:semiHidden/>
    <w:unhideWhenUsed/>
    <w:qFormat/>
    <w:uiPriority w:val="0"/>
    <w:pPr>
      <w:keepNext/>
      <w:keepLines/>
      <w:spacing w:line="590" w:lineRule="exact"/>
      <w:outlineLvl w:val="2"/>
    </w:pPr>
    <w:rPr>
      <w:rFonts w:eastAsia="方正楷体_GBK"/>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after="120" w:line="240" w:lineRule="auto"/>
      <w:ind w:left="420" w:leftChars="200" w:firstLine="420"/>
    </w:pPr>
    <w:rPr>
      <w:sz w:val="30"/>
      <w:szCs w:val="30"/>
    </w:rPr>
  </w:style>
  <w:style w:type="paragraph" w:styleId="3">
    <w:name w:val="Body Text Indent"/>
    <w:basedOn w:val="1"/>
    <w:next w:val="2"/>
    <w:qFormat/>
    <w:uiPriority w:val="0"/>
    <w:pPr>
      <w:spacing w:line="600" w:lineRule="exact"/>
      <w:ind w:firstLine="640"/>
    </w:pPr>
    <w:rPr>
      <w:rFonts w:ascii="楷体_GB2312" w:eastAsia="楷体_GB2312"/>
      <w:kern w:val="0"/>
      <w:lang w:val="zh-CN"/>
    </w:rPr>
  </w:style>
  <w:style w:type="paragraph" w:styleId="4">
    <w:name w:val="Body Text First Indent"/>
    <w:basedOn w:val="5"/>
    <w:next w:val="1"/>
    <w:qFormat/>
    <w:uiPriority w:val="0"/>
    <w:pPr>
      <w:ind w:firstLine="420" w:firstLineChars="100"/>
    </w:pPr>
  </w:style>
  <w:style w:type="paragraph" w:styleId="5">
    <w:name w:val="Body Text"/>
    <w:basedOn w:val="1"/>
    <w:next w:val="6"/>
    <w:unhideWhenUsed/>
    <w:qFormat/>
    <w:uiPriority w:val="99"/>
    <w:pPr>
      <w:autoSpaceDE w:val="0"/>
      <w:autoSpaceDN w:val="0"/>
      <w:spacing w:line="240" w:lineRule="auto"/>
      <w:ind w:firstLine="0" w:firstLineChars="0"/>
    </w:pPr>
    <w:rPr>
      <w:rFonts w:ascii="Arial Unicode MS" w:hAnsi="Arial Unicode MS" w:eastAsia="Arial Unicode MS" w:cs="Arial Unicode MS"/>
      <w:kern w:val="0"/>
      <w:sz w:val="21"/>
      <w:szCs w:val="21"/>
    </w:rPr>
  </w:style>
  <w:style w:type="paragraph" w:styleId="6">
    <w:name w:val="Title"/>
    <w:basedOn w:val="1"/>
    <w:next w:val="1"/>
    <w:qFormat/>
    <w:uiPriority w:val="0"/>
    <w:pPr>
      <w:spacing w:before="240" w:after="60"/>
      <w:jc w:val="center"/>
    </w:pPr>
    <w:rPr>
      <w:rFonts w:ascii="Cambria" w:hAnsi="Cambria" w:cs="宋体"/>
      <w:b/>
      <w:bCs/>
    </w:rPr>
  </w:style>
  <w:style w:type="paragraph" w:styleId="10">
    <w:name w:val="Balloon Text"/>
    <w:basedOn w:val="1"/>
    <w:link w:val="25"/>
    <w:qFormat/>
    <w:uiPriority w:val="0"/>
    <w:pPr>
      <w:spacing w:line="240" w:lineRule="auto"/>
    </w:pPr>
    <w:rPr>
      <w:sz w:val="18"/>
      <w:szCs w:val="18"/>
    </w:rPr>
  </w:style>
  <w:style w:type="paragraph" w:styleId="11">
    <w:name w:val="footer"/>
    <w:basedOn w:val="1"/>
    <w:unhideWhenUsed/>
    <w:qFormat/>
    <w:uiPriority w:val="0"/>
    <w:pPr>
      <w:tabs>
        <w:tab w:val="center" w:pos="4153"/>
        <w:tab w:val="right" w:pos="8306"/>
      </w:tabs>
      <w:snapToGrid w:val="0"/>
      <w:jc w:val="left"/>
    </w:pPr>
    <w:rPr>
      <w:kern w:val="0"/>
      <w:sz w:val="18"/>
      <w:szCs w:val="18"/>
    </w:rPr>
  </w:style>
  <w:style w:type="paragraph" w:styleId="12">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3">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character" w:styleId="16">
    <w:name w:val="Strong"/>
    <w:qFormat/>
    <w:uiPriority w:val="0"/>
    <w:rPr>
      <w:b/>
      <w:bCs/>
    </w:rPr>
  </w:style>
  <w:style w:type="character" w:styleId="17">
    <w:name w:val="page number"/>
    <w:basedOn w:val="15"/>
    <w:qFormat/>
    <w:uiPriority w:val="0"/>
  </w:style>
  <w:style w:type="character" w:styleId="18">
    <w:name w:val="FollowedHyperlink"/>
    <w:basedOn w:val="15"/>
    <w:qFormat/>
    <w:uiPriority w:val="0"/>
    <w:rPr>
      <w:color w:val="000000"/>
      <w:u w:val="none"/>
    </w:rPr>
  </w:style>
  <w:style w:type="character" w:styleId="19">
    <w:name w:val="Emphasis"/>
    <w:basedOn w:val="15"/>
    <w:qFormat/>
    <w:uiPriority w:val="0"/>
  </w:style>
  <w:style w:type="character" w:styleId="20">
    <w:name w:val="Hyperlink"/>
    <w:qFormat/>
    <w:uiPriority w:val="0"/>
    <w:rPr>
      <w:color w:val="000000"/>
      <w:sz w:val="18"/>
      <w:szCs w:val="18"/>
      <w:u w:val="none"/>
    </w:rPr>
  </w:style>
  <w:style w:type="character" w:styleId="21">
    <w:name w:val="HTML Cite"/>
    <w:basedOn w:val="15"/>
    <w:qFormat/>
    <w:uiPriority w:val="0"/>
  </w:style>
  <w:style w:type="character" w:customStyle="1" w:styleId="22">
    <w:name w:val="first"/>
    <w:basedOn w:val="15"/>
    <w:qFormat/>
    <w:uiPriority w:val="0"/>
    <w:rPr>
      <w:shd w:val="clear" w:color="auto" w:fill="3DD11B"/>
    </w:rPr>
  </w:style>
  <w:style w:type="character" w:customStyle="1" w:styleId="23">
    <w:name w:val="last"/>
    <w:basedOn w:val="15"/>
    <w:qFormat/>
    <w:uiPriority w:val="0"/>
  </w:style>
  <w:style w:type="character" w:customStyle="1" w:styleId="24">
    <w:name w:val="标题 1 Char"/>
    <w:link w:val="7"/>
    <w:qFormat/>
    <w:uiPriority w:val="0"/>
    <w:rPr>
      <w:rFonts w:eastAsia="方正黑体_GBK"/>
      <w:kern w:val="44"/>
    </w:rPr>
  </w:style>
  <w:style w:type="character" w:customStyle="1" w:styleId="25">
    <w:name w:val="批注框文本 Char"/>
    <w:basedOn w:val="15"/>
    <w:link w:val="10"/>
    <w:qFormat/>
    <w:uiPriority w:val="0"/>
    <w:rPr>
      <w:rFonts w:eastAsia="方正仿宋_GBK"/>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1874</Words>
  <Characters>1881</Characters>
  <Lines>23</Lines>
  <Paragraphs>6</Paragraphs>
  <TotalTime>3</TotalTime>
  <ScaleCrop>false</ScaleCrop>
  <LinksUpToDate>false</LinksUpToDate>
  <CharactersWithSpaces>1887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2021-11-24T03:46:00Z</dcterms:created>
  <dc:creator>Q</dc:creator>
  <cp:lastModifiedBy>Q</cp:lastModifiedBy>
  <dcterms:modified xsi:type="dcterms:W3CDTF">2022-03-16T01:49:07Z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736B51756D3D439D887A93368CD3AC42</vt:lpwstr>
  </property>
  <property fmtid="{D5CDD505-2E9C-101B-9397-08002B2CF9AE}" pid="4" name="KSOSaveFontToCloudKey">
    <vt:lpwstr>1304066629_btnclosed</vt:lpwstr>
  </property>
</Properties>
</file>